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2</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bookmarkStart w:id="0" w:name="_GoBack"/>
      <w:bookmarkEnd w:id="0"/>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hint="eastAsia" w:ascii="Times New Roman" w:hAnsi="Times New Roman" w:eastAsia="仿宋_GB2312"/>
          <w:color w:val="000000"/>
          <w:szCs w:val="32"/>
          <w:lang w:eastAsia="zh-CN"/>
        </w:rPr>
        <w:t>2022</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一、考试方式</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lang w:eastAsia="zh-CN"/>
        </w:rPr>
        <w:t>2022</w:t>
      </w:r>
      <w:r>
        <w:rPr>
          <w:rFonts w:hint="eastAsia" w:ascii="Times New Roman" w:hAnsi="Times New Roman" w:eastAsia="仿宋_GB2312"/>
          <w:color w:val="000000"/>
          <w:szCs w:val="32"/>
        </w:rPr>
        <w:t>年度公安机关面向社会招录人民警察专业科目笔试采用闭卷考试方式，全部为客观性试题，考试时限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二、作答要求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）公安工作的根本原则、路线、方针、政策及公安历史沿革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spacing w:line="550" w:lineRule="exact"/>
        <w:ind w:left="420" w:firstLine="22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Times New Roman" w:hAnsi="Times New Roman"/>
        <w:sz w:val="28"/>
        <w:szCs w:val="28"/>
      </w:rPr>
    </w:pPr>
    <w:r>
      <w:rPr>
        <w:rStyle w:val="10"/>
        <w:rFonts w:ascii="Times New Roman" w:hAnsi="Times New Roman"/>
        <w:sz w:val="28"/>
        <w:szCs w:val="28"/>
      </w:rPr>
      <w:t xml:space="preserve">—  </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5</w:t>
    </w:r>
    <w:r>
      <w:rPr>
        <w:rStyle w:val="10"/>
        <w:rFonts w:ascii="Times New Roman" w:hAnsi="Times New Roman"/>
        <w:sz w:val="28"/>
        <w:szCs w:val="28"/>
      </w:rPr>
      <w:fldChar w:fldCharType="end"/>
    </w:r>
    <w:r>
      <w:rPr>
        <w:rStyle w:val="10"/>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EC039C6"/>
    <w:rsid w:val="38CF6E4D"/>
    <w:rsid w:val="43410928"/>
    <w:rsid w:val="4950197E"/>
    <w:rsid w:val="628C04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0</TotalTime>
  <ScaleCrop>false</ScaleCrop>
  <LinksUpToDate>false</LinksUpToDate>
  <CharactersWithSpaces>1910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juping</cp:lastModifiedBy>
  <cp:lastPrinted>2021-10-09T02:27:00Z</cp:lastPrinted>
  <dcterms:modified xsi:type="dcterms:W3CDTF">2022-02-17T09:25:38Z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