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382"/>
        <w:gridCol w:w="514"/>
        <w:gridCol w:w="1340"/>
        <w:gridCol w:w="382"/>
        <w:gridCol w:w="646"/>
        <w:gridCol w:w="1570"/>
        <w:gridCol w:w="1042"/>
        <w:gridCol w:w="1306"/>
        <w:gridCol w:w="514"/>
        <w:gridCol w:w="647"/>
        <w:gridCol w:w="42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筠连县事业单位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2022年第二次公开考核招聘引进高层次人才岗位和条件一览表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7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笔试最低开考比例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1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笔试+结构化面试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；3.筠连县党员干部廉政教育培训中心、筠连县保护消费者权益委员会调解中心、筠连县公共资源交易服务中心、筠连县经济发展服务中心、筠连县政协办公室信息中心、筠连县城乡居民社会养老保险管理中心各1名，筠连县服务业发展促进中心2名，考生按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筠连县投资审计中心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管理科学与工程类（一级学科）、土木类（一级学科）、工商管理类（一级学科）、金融学类（一级学科）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仅结构化面试，不笔试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筠连县网络舆情中心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电子信息类（一级学科）、计算机类（一级学科）、新闻传播学类（一级学科）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仅结构化面试，不笔试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35周岁及以下；取得中级及以上职称者年龄可以放宽到40周岁。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仅专业技能面试，不笔试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筠连县妇幼保健计划生育服务中心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35周岁及以下；取得中级以上职称者年龄可以放宽到40周岁。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仅专业技能面试，不笔试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筠连县职业技术学校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中国语言文学类（一级学科）、教育学类（一级学科）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具有语文学科中等职业学校（含高级中学）及以上教师资格证。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仅专业技能面试，不笔试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筠连县职业技术学校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数学类（一级学科）、数学教育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具有数学学科中等职业学校（含高级中学）及以上教师资格证。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仅专业技能面试，不笔试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筠连县职业技术学校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外国语言文学类（一级学科）、教育学类（一级学科）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具有英语学科中等职业学校（含高级中学）及以上教师资格证。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仅专业技能面试，不笔试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筠连县职业技术学校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20220232009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体育学类（一级学科）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具有体育学科中等职业学校（含高级中学）及以上教师资格证。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仅专业技能面试，不笔试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1.在筠最低服务年限为5年，服务期限未满，一律不得调流动；2.筠连县机关事业单位在编在职人员不得报考。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2C087F2B"/>
    <w:rsid w:val="2C0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1431</Words>
  <Characters>1572</Characters>
  <Lines>0</Lines>
  <Paragraphs>0</Paragraphs>
  <TotalTime>0</TotalTime>
  <ScaleCrop>false</ScaleCrop>
  <LinksUpToDate>false</LinksUpToDate>
  <CharactersWithSpaces>1575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2022-11-01T06:55:00Z</dcterms:created>
  <dc:creator>WPS_1656498723</dc:creator>
  <cp:lastModifiedBy>WPS_1656498723</cp:lastModifiedBy>
  <dcterms:modified xsi:type="dcterms:W3CDTF">2022-11-01T06:55:47Z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48DCFE0ABEAE4A50B3AD7F044C944180</vt:lpwstr>
  </property>
</Properties>
</file>